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firstLine="0" w:left="0"/>
        <w:jc w:val="center"/>
      </w:pPr>
      <w:bookmarkStart w:id="1" w:name="_GoBack"/>
      <w:r>
        <w:t>Перечень региональных льгот и мер социальной поддержки, предоставляемых военнослужащим и членам их семей</w:t>
      </w:r>
      <w:bookmarkEnd w:id="1"/>
    </w:p>
    <w:p w14:paraId="02000000">
      <w:pPr>
        <w:spacing w:line="240" w:lineRule="auto"/>
        <w:ind/>
      </w:pPr>
    </w:p>
    <w:tbl>
      <w:tblPr>
        <w:tblStyle w:val="Style_1"/>
        <w:tblLayout w:type="fixed"/>
      </w:tblPr>
      <w:tblGrid>
        <w:gridCol w:w="1111"/>
        <w:gridCol w:w="8211"/>
      </w:tblGrid>
      <w:tr>
        <w:tc>
          <w:tcPr>
            <w:tcW w:type="dxa" w:w="1111"/>
          </w:tcPr>
          <w:p w14:paraId="03000000">
            <w:pPr>
              <w:ind w:firstLine="0" w:left="360"/>
              <w:jc w:val="both"/>
              <w:rPr>
                <w:rFonts w:ascii="Times New Roman" w:hAnsi="Times New Roman"/>
                <w:sz w:val="28"/>
              </w:rPr>
            </w:pPr>
            <w:r>
              <w:rPr>
                <w:rFonts w:ascii="Times New Roman" w:hAnsi="Times New Roman"/>
                <w:sz w:val="28"/>
              </w:rPr>
              <w:t>№</w:t>
            </w:r>
          </w:p>
        </w:tc>
        <w:tc>
          <w:tcPr>
            <w:tcW w:type="dxa" w:w="8211"/>
          </w:tcPr>
          <w:p w14:paraId="04000000">
            <w:pPr>
              <w:ind/>
              <w:jc w:val="center"/>
              <w:rPr>
                <w:rFonts w:ascii="Times New Roman" w:hAnsi="Times New Roman"/>
                <w:sz w:val="28"/>
              </w:rPr>
            </w:pPr>
            <w:r>
              <w:rPr>
                <w:rFonts w:ascii="Times New Roman" w:hAnsi="Times New Roman"/>
                <w:sz w:val="28"/>
              </w:rPr>
              <w:t>М</w:t>
            </w:r>
            <w:r>
              <w:rPr>
                <w:rFonts w:ascii="Times New Roman" w:hAnsi="Times New Roman"/>
                <w:sz w:val="28"/>
              </w:rPr>
              <w:t>ер</w:t>
            </w:r>
            <w:r>
              <w:rPr>
                <w:rFonts w:ascii="Times New Roman" w:hAnsi="Times New Roman"/>
                <w:sz w:val="28"/>
              </w:rPr>
              <w:t>ы</w:t>
            </w:r>
            <w:r>
              <w:rPr>
                <w:rFonts w:ascii="Times New Roman" w:hAnsi="Times New Roman"/>
                <w:sz w:val="28"/>
              </w:rPr>
              <w:t xml:space="preserve"> социальной поддержки</w:t>
            </w:r>
          </w:p>
        </w:tc>
      </w:tr>
      <w:tr>
        <w:tc>
          <w:tcPr>
            <w:tcW w:type="dxa" w:w="1111"/>
          </w:tcPr>
          <w:p w14:paraId="05000000">
            <w:pPr>
              <w:pStyle w:val="Style_2"/>
              <w:numPr>
                <w:ilvl w:val="0"/>
                <w:numId w:val="1"/>
              </w:numPr>
              <w:ind/>
              <w:jc w:val="both"/>
              <w:rPr>
                <w:rFonts w:ascii="Times New Roman" w:hAnsi="Times New Roman"/>
                <w:sz w:val="28"/>
              </w:rPr>
            </w:pPr>
          </w:p>
        </w:tc>
        <w:tc>
          <w:tcPr>
            <w:tcW w:type="dxa" w:w="8211"/>
          </w:tcPr>
          <w:p w14:paraId="06000000">
            <w:pPr>
              <w:ind/>
              <w:jc w:val="both"/>
              <w:rPr>
                <w:rFonts w:ascii="Times New Roman" w:hAnsi="Times New Roman"/>
                <w:sz w:val="28"/>
              </w:rPr>
            </w:pPr>
            <w:r>
              <w:rPr>
                <w:rFonts w:ascii="Times New Roman" w:hAnsi="Times New Roman"/>
                <w:sz w:val="28"/>
              </w:rPr>
              <w:t>Единовременная денежная выплата 100 тысяч рублей</w:t>
            </w:r>
            <w:r>
              <w:rPr>
                <w:rFonts w:ascii="Times New Roman" w:hAnsi="Times New Roman"/>
                <w:sz w:val="28"/>
              </w:rPr>
              <w:t xml:space="preserve"> гражданам Р</w:t>
            </w:r>
            <w:r>
              <w:rPr>
                <w:rFonts w:ascii="Times New Roman" w:hAnsi="Times New Roman"/>
                <w:sz w:val="28"/>
              </w:rPr>
              <w:t xml:space="preserve">оссийской </w:t>
            </w:r>
            <w:r>
              <w:rPr>
                <w:rFonts w:ascii="Times New Roman" w:hAnsi="Times New Roman"/>
                <w:sz w:val="28"/>
              </w:rPr>
              <w:t>Ф</w:t>
            </w:r>
            <w:r>
              <w:rPr>
                <w:rFonts w:ascii="Times New Roman" w:hAnsi="Times New Roman"/>
                <w:sz w:val="28"/>
              </w:rPr>
              <w:t>едерации</w:t>
            </w:r>
            <w:r>
              <w:rPr>
                <w:rFonts w:ascii="Times New Roman" w:hAnsi="Times New Roman"/>
                <w:sz w:val="28"/>
              </w:rPr>
              <w:t xml:space="preserve">, призванным Военным комиссариатом Вологодской области на военную службу в Вооруженные Силы </w:t>
            </w:r>
            <w:r>
              <w:rPr>
                <w:rFonts w:ascii="Times New Roman" w:hAnsi="Times New Roman"/>
                <w:sz w:val="28"/>
              </w:rPr>
              <w:t>Р</w:t>
            </w:r>
            <w:r>
              <w:rPr>
                <w:rFonts w:ascii="Times New Roman" w:hAnsi="Times New Roman"/>
                <w:sz w:val="28"/>
              </w:rPr>
              <w:t xml:space="preserve">оссийской </w:t>
            </w:r>
            <w:r>
              <w:rPr>
                <w:rFonts w:ascii="Times New Roman" w:hAnsi="Times New Roman"/>
                <w:sz w:val="28"/>
              </w:rPr>
              <w:t>Ф</w:t>
            </w:r>
            <w:r>
              <w:rPr>
                <w:rFonts w:ascii="Times New Roman" w:hAnsi="Times New Roman"/>
                <w:sz w:val="28"/>
              </w:rPr>
              <w:t>едерации</w:t>
            </w:r>
            <w:r>
              <w:rPr>
                <w:rFonts w:ascii="Times New Roman" w:hAnsi="Times New Roman"/>
                <w:sz w:val="28"/>
              </w:rPr>
              <w:t xml:space="preserve"> по мобилизации;</w:t>
            </w:r>
          </w:p>
        </w:tc>
      </w:tr>
      <w:tr>
        <w:tc>
          <w:tcPr>
            <w:tcW w:type="dxa" w:w="1111"/>
          </w:tcPr>
          <w:p w14:paraId="07000000">
            <w:pPr>
              <w:pStyle w:val="Style_2"/>
              <w:numPr>
                <w:ilvl w:val="0"/>
                <w:numId w:val="1"/>
              </w:numPr>
              <w:ind/>
              <w:jc w:val="both"/>
              <w:rPr>
                <w:rFonts w:ascii="Times New Roman" w:hAnsi="Times New Roman"/>
                <w:sz w:val="28"/>
              </w:rPr>
            </w:pPr>
          </w:p>
        </w:tc>
        <w:tc>
          <w:tcPr>
            <w:tcW w:type="dxa" w:w="8211"/>
          </w:tcPr>
          <w:p w14:paraId="08000000">
            <w:pPr>
              <w:ind/>
              <w:jc w:val="both"/>
              <w:rPr>
                <w:rFonts w:ascii="Times New Roman" w:hAnsi="Times New Roman"/>
                <w:sz w:val="28"/>
              </w:rPr>
            </w:pPr>
            <w:r>
              <w:rPr>
                <w:rFonts w:ascii="Times New Roman" w:hAnsi="Times New Roman"/>
                <w:sz w:val="28"/>
              </w:rPr>
              <w:t>Ежемесячная денежная выплата 10 тысяч рублей</w:t>
            </w:r>
            <w:r>
              <w:rPr>
                <w:rFonts w:ascii="Times New Roman" w:hAnsi="Times New Roman"/>
                <w:sz w:val="28"/>
              </w:rPr>
              <w:t xml:space="preserve"> гражданам Российской Федерации, призванным Военным комиссариатом Вологодской области на военную службу в Вооруженные Силы Российской Федерации по мобилизации</w:t>
            </w:r>
            <w:r>
              <w:rPr>
                <w:rFonts w:ascii="Times New Roman" w:hAnsi="Times New Roman"/>
                <w:sz w:val="28"/>
              </w:rPr>
              <w:t>;</w:t>
            </w:r>
          </w:p>
        </w:tc>
      </w:tr>
      <w:tr>
        <w:tc>
          <w:tcPr>
            <w:tcW w:type="dxa" w:w="1111"/>
          </w:tcPr>
          <w:p w14:paraId="09000000">
            <w:pPr>
              <w:pStyle w:val="Style_2"/>
              <w:numPr>
                <w:ilvl w:val="0"/>
                <w:numId w:val="1"/>
              </w:numPr>
              <w:ind/>
              <w:jc w:val="both"/>
              <w:rPr>
                <w:rFonts w:ascii="Times New Roman" w:hAnsi="Times New Roman"/>
                <w:sz w:val="28"/>
              </w:rPr>
            </w:pPr>
          </w:p>
        </w:tc>
        <w:tc>
          <w:tcPr>
            <w:tcW w:type="dxa" w:w="8211"/>
          </w:tcPr>
          <w:p w14:paraId="0A000000">
            <w:pPr>
              <w:ind/>
              <w:jc w:val="both"/>
              <w:rPr>
                <w:rFonts w:ascii="Times New Roman" w:hAnsi="Times New Roman"/>
                <w:sz w:val="28"/>
              </w:rPr>
            </w:pPr>
            <w:r>
              <w:rPr>
                <w:rFonts w:ascii="Times New Roman" w:hAnsi="Times New Roman"/>
                <w:sz w:val="28"/>
              </w:rPr>
              <w:t>Единовременная денежная выплата 100 тысяч рублей</w:t>
            </w:r>
            <w:r>
              <w:rPr>
                <w:rFonts w:ascii="Times New Roman" w:hAnsi="Times New Roman"/>
                <w:sz w:val="28"/>
              </w:rPr>
              <w:t xml:space="preserve"> гражданам Российской Федерации в добровольном порядке заключившим контракт о прохождении военной службы в Вооруженных Силах Российской Федерации по направлению из пункта отбора на военную службу по контракту Вологодской области либо в войсках национальной гвардии </w:t>
            </w:r>
            <w:r>
              <w:rPr>
                <w:rFonts w:ascii="Times New Roman" w:hAnsi="Times New Roman"/>
                <w:sz w:val="28"/>
              </w:rPr>
              <w:t>Р</w:t>
            </w:r>
            <w:r>
              <w:rPr>
                <w:rFonts w:ascii="Times New Roman" w:hAnsi="Times New Roman"/>
                <w:sz w:val="28"/>
              </w:rPr>
              <w:t xml:space="preserve">оссийской </w:t>
            </w:r>
            <w:r>
              <w:rPr>
                <w:rFonts w:ascii="Times New Roman" w:hAnsi="Times New Roman"/>
                <w:sz w:val="28"/>
              </w:rPr>
              <w:t>Ф</w:t>
            </w:r>
            <w:r>
              <w:rPr>
                <w:rFonts w:ascii="Times New Roman" w:hAnsi="Times New Roman"/>
                <w:sz w:val="28"/>
              </w:rPr>
              <w:t>едерации</w:t>
            </w:r>
            <w:r>
              <w:rPr>
                <w:rFonts w:ascii="Times New Roman" w:hAnsi="Times New Roman"/>
                <w:sz w:val="28"/>
              </w:rPr>
              <w:t>, направленным для участия в специальной военной операции</w:t>
            </w:r>
            <w:r>
              <w:rPr>
                <w:rFonts w:ascii="Times New Roman" w:hAnsi="Times New Roman"/>
                <w:sz w:val="28"/>
              </w:rPr>
              <w:t>;</w:t>
            </w:r>
          </w:p>
        </w:tc>
      </w:tr>
      <w:tr>
        <w:tc>
          <w:tcPr>
            <w:tcW w:type="dxa" w:w="1111"/>
          </w:tcPr>
          <w:p w14:paraId="0B000000">
            <w:pPr>
              <w:pStyle w:val="Style_2"/>
              <w:numPr>
                <w:ilvl w:val="0"/>
                <w:numId w:val="1"/>
              </w:numPr>
              <w:ind/>
              <w:jc w:val="both"/>
              <w:rPr>
                <w:rFonts w:ascii="Times New Roman" w:hAnsi="Times New Roman"/>
                <w:sz w:val="28"/>
              </w:rPr>
            </w:pPr>
          </w:p>
        </w:tc>
        <w:tc>
          <w:tcPr>
            <w:tcW w:type="dxa" w:w="8211"/>
          </w:tcPr>
          <w:p w14:paraId="0C000000">
            <w:pPr>
              <w:ind/>
              <w:jc w:val="both"/>
              <w:rPr>
                <w:rFonts w:ascii="Times New Roman" w:hAnsi="Times New Roman"/>
                <w:sz w:val="28"/>
              </w:rPr>
            </w:pPr>
            <w:r>
              <w:rPr>
                <w:rFonts w:ascii="Times New Roman" w:hAnsi="Times New Roman"/>
                <w:sz w:val="28"/>
              </w:rPr>
              <w:t>Ежемесячная денежная выплата 10 тысяч рублей</w:t>
            </w:r>
            <w:r>
              <w:rPr>
                <w:rFonts w:ascii="Times New Roman" w:hAnsi="Times New Roman"/>
                <w:sz w:val="28"/>
              </w:rPr>
              <w:t xml:space="preserve"> гражданам Российской Федерации в добровольном порядке заключившим контракт о прохождении военной службы в Вооруженных Силах Российской Федерации по направлению из пункта отбора на военную службу по контракту Вологодской области либо в войсках национальной гвардии </w:t>
            </w:r>
            <w:r>
              <w:rPr>
                <w:rFonts w:ascii="Times New Roman" w:hAnsi="Times New Roman"/>
                <w:sz w:val="28"/>
              </w:rPr>
              <w:t>Р</w:t>
            </w:r>
            <w:r>
              <w:rPr>
                <w:rFonts w:ascii="Times New Roman" w:hAnsi="Times New Roman"/>
                <w:sz w:val="28"/>
              </w:rPr>
              <w:t xml:space="preserve">оссийской </w:t>
            </w:r>
            <w:r>
              <w:rPr>
                <w:rFonts w:ascii="Times New Roman" w:hAnsi="Times New Roman"/>
                <w:sz w:val="28"/>
              </w:rPr>
              <w:t>Ф</w:t>
            </w:r>
            <w:r>
              <w:rPr>
                <w:rFonts w:ascii="Times New Roman" w:hAnsi="Times New Roman"/>
                <w:sz w:val="28"/>
              </w:rPr>
              <w:t>едерации</w:t>
            </w:r>
            <w:r>
              <w:rPr>
                <w:rFonts w:ascii="Times New Roman" w:hAnsi="Times New Roman"/>
                <w:sz w:val="28"/>
              </w:rPr>
              <w:t>, направленным для участия в специальной военной операции</w:t>
            </w:r>
            <w:r>
              <w:rPr>
                <w:rFonts w:ascii="Times New Roman" w:hAnsi="Times New Roman"/>
                <w:sz w:val="28"/>
              </w:rPr>
              <w:t>;</w:t>
            </w:r>
          </w:p>
        </w:tc>
      </w:tr>
      <w:tr>
        <w:tc>
          <w:tcPr>
            <w:tcW w:type="dxa" w:w="1111"/>
          </w:tcPr>
          <w:p w14:paraId="0D000000">
            <w:pPr>
              <w:pStyle w:val="Style_2"/>
              <w:numPr>
                <w:ilvl w:val="0"/>
                <w:numId w:val="1"/>
              </w:numPr>
              <w:ind/>
              <w:jc w:val="both"/>
              <w:rPr>
                <w:rFonts w:ascii="Times New Roman" w:hAnsi="Times New Roman"/>
                <w:sz w:val="28"/>
              </w:rPr>
            </w:pPr>
          </w:p>
        </w:tc>
        <w:tc>
          <w:tcPr>
            <w:tcW w:type="dxa" w:w="8211"/>
          </w:tcPr>
          <w:p w14:paraId="0E000000">
            <w:pPr>
              <w:ind/>
              <w:jc w:val="both"/>
              <w:rPr>
                <w:rFonts w:ascii="Times New Roman" w:hAnsi="Times New Roman"/>
                <w:sz w:val="28"/>
              </w:rPr>
            </w:pPr>
            <w:r>
              <w:rPr>
                <w:rFonts w:ascii="Times New Roman" w:hAnsi="Times New Roman"/>
                <w:sz w:val="28"/>
              </w:rPr>
              <w:t>Единовременная денежная выплата 100 тысяч рублей</w:t>
            </w:r>
            <w:r>
              <w:rPr>
                <w:rFonts w:ascii="Times New Roman" w:hAnsi="Times New Roman"/>
                <w:sz w:val="28"/>
              </w:rPr>
              <w:t xml:space="preserve"> военнослужащим Вооруженных Сил Российской Федерации, военнослужащим войск национальной гвардии Российской Федерации, военнослужащим органов федеральной службы безопасности, военнослужащим органов государственной охраны, получившим тяжелое увечье (ранение, травму, контузию) после 24 февраля 2022 года в связи с участием в специальной военной операции, которое не влечет признания военно-врачебной комиссией негодным к дальнейшему прохождению службы</w:t>
            </w:r>
            <w:r>
              <w:rPr>
                <w:rFonts w:ascii="Times New Roman" w:hAnsi="Times New Roman"/>
                <w:sz w:val="28"/>
              </w:rPr>
              <w:t>;</w:t>
            </w:r>
          </w:p>
        </w:tc>
      </w:tr>
      <w:tr>
        <w:tc>
          <w:tcPr>
            <w:tcW w:type="dxa" w:w="1111"/>
          </w:tcPr>
          <w:p w14:paraId="0F000000">
            <w:pPr>
              <w:pStyle w:val="Style_2"/>
              <w:numPr>
                <w:ilvl w:val="0"/>
                <w:numId w:val="1"/>
              </w:numPr>
              <w:ind/>
              <w:jc w:val="both"/>
              <w:rPr>
                <w:rFonts w:ascii="Times New Roman" w:hAnsi="Times New Roman"/>
                <w:sz w:val="28"/>
              </w:rPr>
            </w:pPr>
          </w:p>
        </w:tc>
        <w:tc>
          <w:tcPr>
            <w:tcW w:type="dxa" w:w="8211"/>
          </w:tcPr>
          <w:p w14:paraId="10000000">
            <w:pPr>
              <w:ind/>
              <w:jc w:val="both"/>
              <w:rPr>
                <w:rFonts w:ascii="Times New Roman" w:hAnsi="Times New Roman"/>
                <w:sz w:val="28"/>
              </w:rPr>
            </w:pPr>
            <w:r>
              <w:rPr>
                <w:rFonts w:ascii="Times New Roman" w:hAnsi="Times New Roman"/>
                <w:sz w:val="28"/>
              </w:rPr>
              <w:t>Единовременная денежная выплата в размере 300 тысяч рублей</w:t>
            </w:r>
            <w:r>
              <w:rPr>
                <w:rFonts w:ascii="Times New Roman" w:hAnsi="Times New Roman"/>
                <w:sz w:val="28"/>
              </w:rPr>
              <w:t xml:space="preserve"> лицам, заключившим контракт о прохождении военной службы с именными подразделениями (воинские части 74927 и 52436)</w:t>
            </w:r>
            <w:r>
              <w:rPr>
                <w:rFonts w:ascii="Times New Roman" w:hAnsi="Times New Roman"/>
                <w:sz w:val="28"/>
              </w:rPr>
              <w:t>;</w:t>
            </w:r>
          </w:p>
        </w:tc>
      </w:tr>
      <w:tr>
        <w:tc>
          <w:tcPr>
            <w:tcW w:type="dxa" w:w="1111"/>
          </w:tcPr>
          <w:p w14:paraId="11000000">
            <w:pPr>
              <w:pStyle w:val="Style_2"/>
              <w:numPr>
                <w:ilvl w:val="0"/>
                <w:numId w:val="1"/>
              </w:numPr>
              <w:ind/>
              <w:jc w:val="both"/>
              <w:rPr>
                <w:rFonts w:ascii="Times New Roman" w:hAnsi="Times New Roman"/>
                <w:sz w:val="28"/>
              </w:rPr>
            </w:pPr>
          </w:p>
        </w:tc>
        <w:tc>
          <w:tcPr>
            <w:tcW w:type="dxa" w:w="8211"/>
          </w:tcPr>
          <w:p w14:paraId="12000000">
            <w:pPr>
              <w:ind/>
              <w:jc w:val="both"/>
              <w:rPr>
                <w:rFonts w:ascii="Times New Roman" w:hAnsi="Times New Roman"/>
                <w:sz w:val="28"/>
              </w:rPr>
            </w:pPr>
            <w:r>
              <w:rPr>
                <w:rFonts w:ascii="Times New Roman" w:hAnsi="Times New Roman"/>
                <w:sz w:val="28"/>
              </w:rPr>
              <w:t>Единовременная денежная выплата 500 тысяч рублей</w:t>
            </w:r>
            <w:r>
              <w:rPr>
                <w:rFonts w:ascii="Times New Roman" w:hAnsi="Times New Roman"/>
                <w:sz w:val="28"/>
              </w:rPr>
              <w:t xml:space="preserve"> военнослужащим, уволенным со службы по причине признания их военно-врачебной комиссией не годными к дальнейшему прохождению службы вследствие увечья (ранения, травмы, </w:t>
            </w:r>
            <w:r>
              <w:rPr>
                <w:rFonts w:ascii="Times New Roman" w:hAnsi="Times New Roman"/>
                <w:sz w:val="28"/>
              </w:rPr>
              <w:t>контузии)</w:t>
            </w:r>
            <w:r>
              <w:rPr>
                <w:rFonts w:ascii="Times New Roman" w:hAnsi="Times New Roman"/>
                <w:sz w:val="28"/>
              </w:rPr>
              <w:t>;</w:t>
            </w:r>
          </w:p>
        </w:tc>
      </w:tr>
      <w:tr>
        <w:tc>
          <w:tcPr>
            <w:tcW w:type="dxa" w:w="1111"/>
          </w:tcPr>
          <w:p w14:paraId="13000000">
            <w:pPr>
              <w:pStyle w:val="Style_2"/>
              <w:numPr>
                <w:ilvl w:val="0"/>
                <w:numId w:val="1"/>
              </w:numPr>
              <w:ind/>
              <w:jc w:val="both"/>
              <w:rPr>
                <w:rFonts w:ascii="Times New Roman" w:hAnsi="Times New Roman"/>
                <w:sz w:val="28"/>
              </w:rPr>
            </w:pPr>
          </w:p>
        </w:tc>
        <w:tc>
          <w:tcPr>
            <w:tcW w:type="dxa" w:w="8211"/>
          </w:tcPr>
          <w:p w14:paraId="14000000">
            <w:pPr>
              <w:ind/>
              <w:jc w:val="both"/>
              <w:rPr>
                <w:rFonts w:ascii="Times New Roman" w:hAnsi="Times New Roman"/>
                <w:sz w:val="28"/>
              </w:rPr>
            </w:pPr>
            <w:r>
              <w:rPr>
                <w:rFonts w:ascii="Times New Roman" w:hAnsi="Times New Roman"/>
                <w:sz w:val="28"/>
              </w:rPr>
              <w:t>Единовременная денежная выплата 1 млн. рублей на семью</w:t>
            </w:r>
            <w:r>
              <w:rPr>
                <w:rFonts w:ascii="Times New Roman" w:hAnsi="Times New Roman"/>
                <w:sz w:val="28"/>
              </w:rPr>
              <w:t xml:space="preserve"> членам семей военнослужащих, погибших при исполнении воинского долга в ходе проведения специальной военной операции</w:t>
            </w:r>
            <w:r>
              <w:rPr>
                <w:rFonts w:ascii="Times New Roman" w:hAnsi="Times New Roman"/>
                <w:sz w:val="28"/>
              </w:rPr>
              <w:t>;</w:t>
            </w:r>
          </w:p>
        </w:tc>
      </w:tr>
      <w:tr>
        <w:tc>
          <w:tcPr>
            <w:tcW w:type="dxa" w:w="1111"/>
          </w:tcPr>
          <w:p w14:paraId="15000000">
            <w:pPr>
              <w:pStyle w:val="Style_2"/>
              <w:numPr>
                <w:ilvl w:val="0"/>
                <w:numId w:val="1"/>
              </w:numPr>
              <w:ind/>
              <w:jc w:val="both"/>
              <w:rPr>
                <w:rFonts w:ascii="Times New Roman" w:hAnsi="Times New Roman"/>
                <w:sz w:val="28"/>
              </w:rPr>
            </w:pPr>
          </w:p>
        </w:tc>
        <w:tc>
          <w:tcPr>
            <w:tcW w:type="dxa" w:w="8211"/>
          </w:tcPr>
          <w:p w14:paraId="16000000">
            <w:pPr>
              <w:ind/>
              <w:jc w:val="both"/>
              <w:rPr>
                <w:rFonts w:ascii="Times New Roman" w:hAnsi="Times New Roman"/>
                <w:sz w:val="28"/>
              </w:rPr>
            </w:pPr>
            <w:r>
              <w:rPr>
                <w:rFonts w:ascii="Times New Roman" w:hAnsi="Times New Roman"/>
                <w:sz w:val="28"/>
              </w:rPr>
              <w:t>Социальное сопровождение семей военнослужащих</w:t>
            </w:r>
            <w:r>
              <w:rPr>
                <w:rFonts w:ascii="Times New Roman" w:hAnsi="Times New Roman"/>
                <w:sz w:val="28"/>
              </w:rPr>
              <w:t>;</w:t>
            </w:r>
          </w:p>
        </w:tc>
      </w:tr>
      <w:tr>
        <w:tc>
          <w:tcPr>
            <w:tcW w:type="dxa" w:w="1111"/>
          </w:tcPr>
          <w:p w14:paraId="17000000">
            <w:pPr>
              <w:pStyle w:val="Style_2"/>
              <w:numPr>
                <w:ilvl w:val="0"/>
                <w:numId w:val="1"/>
              </w:numPr>
              <w:ind/>
              <w:jc w:val="both"/>
              <w:rPr>
                <w:rFonts w:ascii="Times New Roman" w:hAnsi="Times New Roman"/>
                <w:sz w:val="28"/>
              </w:rPr>
            </w:pPr>
          </w:p>
        </w:tc>
        <w:tc>
          <w:tcPr>
            <w:tcW w:type="dxa" w:w="8211"/>
          </w:tcPr>
          <w:p w14:paraId="18000000">
            <w:pPr>
              <w:ind/>
              <w:jc w:val="both"/>
              <w:rPr>
                <w:rFonts w:ascii="Times New Roman" w:hAnsi="Times New Roman"/>
                <w:sz w:val="28"/>
              </w:rPr>
            </w:pPr>
            <w:r>
              <w:rPr>
                <w:rFonts w:ascii="Times New Roman" w:hAnsi="Times New Roman"/>
                <w:sz w:val="28"/>
              </w:rPr>
              <w:t>Педагогический работник  (в возрасте до 35 лет) освобождается от возврата в областной бюджет части единовременной выплаты если его супруг (супруга), проходящий (проходящая) военную службу по контракту, службу в органах внутренних дел, в войсках национальной гвардии Российской Федерации, в органах и организациях прокуратуры, в следственных органах и учреждениях Следственного комитета Российской Федерации, в Государственной противопожарной службе, в учреждениях и органах уголовно-исполнительной системы, органах принудительного исполнения Российской Федерации, переводится к новому месту службы, находящемуся за пределами муниципального района, муниципального округа, в котором проживает и работает педагогический работник;</w:t>
            </w:r>
          </w:p>
        </w:tc>
      </w:tr>
      <w:tr>
        <w:tc>
          <w:tcPr>
            <w:tcW w:type="dxa" w:w="1111"/>
          </w:tcPr>
          <w:p w14:paraId="19000000">
            <w:pPr>
              <w:pStyle w:val="Style_2"/>
              <w:numPr>
                <w:ilvl w:val="0"/>
                <w:numId w:val="1"/>
              </w:numPr>
              <w:ind/>
              <w:jc w:val="both"/>
              <w:rPr>
                <w:rFonts w:ascii="Times New Roman" w:hAnsi="Times New Roman"/>
                <w:sz w:val="28"/>
              </w:rPr>
            </w:pPr>
          </w:p>
        </w:tc>
        <w:tc>
          <w:tcPr>
            <w:tcW w:type="dxa" w:w="8211"/>
          </w:tcPr>
          <w:p w14:paraId="1A000000">
            <w:pPr>
              <w:ind/>
              <w:jc w:val="both"/>
              <w:rPr>
                <w:rFonts w:ascii="Times New Roman" w:hAnsi="Times New Roman"/>
                <w:sz w:val="28"/>
              </w:rPr>
            </w:pPr>
            <w:r>
              <w:rPr>
                <w:rFonts w:ascii="Times New Roman" w:hAnsi="Times New Roman"/>
                <w:sz w:val="28"/>
              </w:rPr>
              <w:t>Педагогический работник (в возрасте до 35 лет) освобождается от возврата единовременных выплат в областной бюджет в связи с расторжением трудового договора по своей инициативе (по собственному желанию, если его супруг (супруга), проходящий (проходящая) военную службу по контракту,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переводится к новому месту службы, находящемуся за пределами муниципального района, муниципального округа, в котором проживает и работает педагогический работник;</w:t>
            </w:r>
          </w:p>
        </w:tc>
      </w:tr>
      <w:tr>
        <w:tc>
          <w:tcPr>
            <w:tcW w:type="dxa" w:w="1111"/>
          </w:tcPr>
          <w:p w14:paraId="1B000000">
            <w:pPr>
              <w:pStyle w:val="Style_2"/>
              <w:numPr>
                <w:ilvl w:val="0"/>
                <w:numId w:val="1"/>
              </w:numPr>
              <w:ind/>
              <w:jc w:val="both"/>
              <w:rPr>
                <w:rFonts w:ascii="Times New Roman" w:hAnsi="Times New Roman"/>
                <w:sz w:val="28"/>
              </w:rPr>
            </w:pPr>
          </w:p>
        </w:tc>
        <w:tc>
          <w:tcPr>
            <w:tcW w:type="dxa" w:w="8211"/>
          </w:tcPr>
          <w:p w14:paraId="1C000000">
            <w:pPr>
              <w:ind/>
              <w:jc w:val="both"/>
              <w:rPr>
                <w:rFonts w:ascii="Times New Roman" w:hAnsi="Times New Roman"/>
                <w:sz w:val="28"/>
              </w:rPr>
            </w:pPr>
            <w:r>
              <w:rPr>
                <w:rFonts w:ascii="Times New Roman" w:hAnsi="Times New Roman"/>
                <w:sz w:val="28"/>
              </w:rPr>
              <w:t>Предоставление жилых помещений жилищного фонда области по договорам социального найма, а также по договорам найма жилых помещений жилищного фонда социального использования в установленном порядке;</w:t>
            </w:r>
          </w:p>
        </w:tc>
      </w:tr>
      <w:tr>
        <w:tc>
          <w:tcPr>
            <w:tcW w:type="dxa" w:w="1111"/>
          </w:tcPr>
          <w:p w14:paraId="1D000000">
            <w:pPr>
              <w:pStyle w:val="Style_2"/>
              <w:numPr>
                <w:ilvl w:val="0"/>
                <w:numId w:val="1"/>
              </w:numPr>
              <w:ind/>
              <w:jc w:val="both"/>
              <w:rPr>
                <w:rFonts w:ascii="Times New Roman" w:hAnsi="Times New Roman"/>
                <w:sz w:val="28"/>
              </w:rPr>
            </w:pPr>
          </w:p>
        </w:tc>
        <w:tc>
          <w:tcPr>
            <w:tcW w:type="dxa" w:w="8211"/>
          </w:tcPr>
          <w:p w14:paraId="1E000000">
            <w:pPr>
              <w:ind/>
              <w:jc w:val="both"/>
              <w:rPr>
                <w:rFonts w:ascii="Times New Roman" w:hAnsi="Times New Roman"/>
                <w:sz w:val="28"/>
              </w:rPr>
            </w:pPr>
            <w:r>
              <w:rPr>
                <w:rFonts w:ascii="Times New Roman" w:hAnsi="Times New Roman"/>
                <w:sz w:val="28"/>
              </w:rPr>
              <w:t xml:space="preserve">При </w:t>
            </w:r>
            <w:r>
              <w:rPr>
                <w:rFonts w:ascii="Times New Roman" w:hAnsi="Times New Roman"/>
                <w:sz w:val="28"/>
              </w:rPr>
              <w:t xml:space="preserve">признании граждан </w:t>
            </w:r>
            <w:r>
              <w:rPr>
                <w:rFonts w:ascii="Times New Roman" w:hAnsi="Times New Roman"/>
                <w:sz w:val="28"/>
              </w:rPr>
              <w:t>малоимущими  в</w:t>
            </w:r>
            <w:r>
              <w:rPr>
                <w:rFonts w:ascii="Times New Roman" w:hAnsi="Times New Roman"/>
                <w:sz w:val="28"/>
              </w:rPr>
              <w:t xml:space="preserve"> </w:t>
            </w:r>
            <w:r>
              <w:rPr>
                <w:rFonts w:ascii="Times New Roman" w:hAnsi="Times New Roman"/>
                <w:sz w:val="28"/>
              </w:rPr>
              <w:t>расчете дохода, приходящегося на каждого члена семьи, не учитываются получаемые по месту нахождения доходы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w:t>
            </w:r>
          </w:p>
        </w:tc>
      </w:tr>
      <w:tr>
        <w:tc>
          <w:tcPr>
            <w:tcW w:type="dxa" w:w="1111"/>
          </w:tcPr>
          <w:p w14:paraId="1F000000">
            <w:pPr>
              <w:pStyle w:val="Style_2"/>
              <w:numPr>
                <w:ilvl w:val="0"/>
                <w:numId w:val="1"/>
              </w:numPr>
              <w:ind/>
              <w:jc w:val="both"/>
              <w:rPr>
                <w:rFonts w:ascii="Times New Roman" w:hAnsi="Times New Roman"/>
                <w:sz w:val="28"/>
              </w:rPr>
            </w:pPr>
          </w:p>
        </w:tc>
        <w:tc>
          <w:tcPr>
            <w:tcW w:type="dxa" w:w="8211"/>
          </w:tcPr>
          <w:p w14:paraId="20000000">
            <w:pPr>
              <w:ind/>
              <w:jc w:val="both"/>
              <w:rPr>
                <w:rFonts w:ascii="Times New Roman" w:hAnsi="Times New Roman"/>
                <w:sz w:val="28"/>
              </w:rPr>
            </w:pPr>
            <w:r>
              <w:rPr>
                <w:rFonts w:ascii="Times New Roman" w:hAnsi="Times New Roman"/>
                <w:sz w:val="28"/>
              </w:rPr>
              <w:t>О</w:t>
            </w:r>
            <w:r>
              <w:rPr>
                <w:rFonts w:ascii="Times New Roman" w:hAnsi="Times New Roman"/>
                <w:sz w:val="28"/>
              </w:rPr>
              <w:t>свобожд</w:t>
            </w:r>
            <w:r>
              <w:rPr>
                <w:rFonts w:ascii="Times New Roman" w:hAnsi="Times New Roman"/>
                <w:sz w:val="28"/>
              </w:rPr>
              <w:t xml:space="preserve">ение </w:t>
            </w:r>
            <w:r>
              <w:rPr>
                <w:rFonts w:ascii="Times New Roman" w:hAnsi="Times New Roman"/>
                <w:sz w:val="28"/>
              </w:rPr>
              <w:t xml:space="preserve"> </w:t>
            </w:r>
            <w:r>
              <w:rPr>
                <w:rFonts w:ascii="Times New Roman" w:hAnsi="Times New Roman"/>
                <w:sz w:val="28"/>
              </w:rPr>
              <w:t xml:space="preserve">студентов, получающих высшее образование в Российской Федерации в соответствии с федеральными государственными образовательными стандартами по специальностям </w:t>
            </w:r>
            <w:r>
              <w:rPr>
                <w:rFonts w:ascii="Times New Roman" w:hAnsi="Times New Roman"/>
                <w:sz w:val="28"/>
              </w:rPr>
              <w:t>«</w:t>
            </w:r>
            <w:r>
              <w:rPr>
                <w:rFonts w:ascii="Times New Roman" w:hAnsi="Times New Roman"/>
                <w:sz w:val="28"/>
              </w:rPr>
              <w:t>зоотехния</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ветеринария</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агроинженерия</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агрономия</w:t>
            </w:r>
            <w:r>
              <w:rPr>
                <w:rFonts w:ascii="Times New Roman" w:hAnsi="Times New Roman"/>
                <w:sz w:val="28"/>
              </w:rPr>
              <w:t>»</w:t>
            </w:r>
            <w:r>
              <w:rPr>
                <w:rFonts w:ascii="Times New Roman" w:hAnsi="Times New Roman"/>
                <w:sz w:val="28"/>
              </w:rPr>
              <w:t xml:space="preserve"> по очной форме обучения, заключившим договоры о целевом обучении с организацией, требования к которой установлены законом Вологодской области от 07.12.2015 </w:t>
            </w:r>
            <w:r>
              <w:rPr>
                <w:rFonts w:ascii="Times New Roman" w:hAnsi="Times New Roman"/>
                <w:sz w:val="28"/>
              </w:rPr>
              <w:t xml:space="preserve">                   №</w:t>
            </w:r>
            <w:r>
              <w:rPr>
                <w:rFonts w:ascii="Times New Roman" w:hAnsi="Times New Roman"/>
                <w:sz w:val="28"/>
              </w:rPr>
              <w:t xml:space="preserve"> 3795-ОЗ </w:t>
            </w:r>
            <w:r>
              <w:rPr>
                <w:rFonts w:ascii="Times New Roman" w:hAnsi="Times New Roman"/>
                <w:sz w:val="28"/>
              </w:rPr>
              <w:t>«</w:t>
            </w:r>
            <w:r>
              <w:rPr>
                <w:rFonts w:ascii="Times New Roman" w:hAnsi="Times New Roman"/>
                <w:sz w:val="28"/>
              </w:rPr>
              <w:t>О мерах социальной поддержки, направленных на кадровое обеспечение агропромышленного комплекса области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от возврата ежемесячных денежных выплат (ежемесячная денежная выплата установлена  в размере 4000 рублей) в областной бюджет </w:t>
            </w:r>
            <w:r>
              <w:rPr>
                <w:rFonts w:ascii="Times New Roman" w:hAnsi="Times New Roman"/>
                <w:sz w:val="28"/>
              </w:rPr>
              <w:t>в связи с расторжением трудового договора, если его супруг (супруга), проходящий (проходящая) военную службу по контракту,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переводится к новому месту службы, находящемуся за пределами муниципального района или муниципального округа, в котором проживает и работает гражданин;</w:t>
            </w:r>
          </w:p>
        </w:tc>
      </w:tr>
      <w:tr>
        <w:tc>
          <w:tcPr>
            <w:tcW w:type="dxa" w:w="1111"/>
          </w:tcPr>
          <w:p w14:paraId="21000000">
            <w:pPr>
              <w:pStyle w:val="Style_2"/>
              <w:numPr>
                <w:ilvl w:val="0"/>
                <w:numId w:val="1"/>
              </w:numPr>
              <w:ind/>
              <w:jc w:val="both"/>
              <w:rPr>
                <w:rFonts w:ascii="Times New Roman" w:hAnsi="Times New Roman"/>
                <w:sz w:val="28"/>
              </w:rPr>
            </w:pPr>
          </w:p>
        </w:tc>
        <w:tc>
          <w:tcPr>
            <w:tcW w:type="dxa" w:w="8211"/>
          </w:tcPr>
          <w:p w14:paraId="22000000">
            <w:pPr>
              <w:ind/>
              <w:jc w:val="both"/>
              <w:rPr>
                <w:rFonts w:ascii="Times New Roman" w:hAnsi="Times New Roman"/>
                <w:sz w:val="28"/>
              </w:rPr>
            </w:pPr>
            <w:r>
              <w:rPr>
                <w:rFonts w:ascii="Times New Roman" w:hAnsi="Times New Roman"/>
                <w:sz w:val="28"/>
              </w:rPr>
              <w:t>Оказание адвокатами бесплатной юридической помощи</w:t>
            </w:r>
            <w:r>
              <w:rPr>
                <w:rFonts w:ascii="Times New Roman" w:hAnsi="Times New Roman"/>
                <w:sz w:val="28"/>
              </w:rPr>
              <w:t xml:space="preserve"> военнослужащим, лицам, проходящим службу в войсках национальной гвардии Российской Федерации, сотрудникам федеральных органов исполнительной государственной власти и федеральных государственных органов, в которых федеральным законом предусмотрена военная служба, сотрудникам органов внутренних дел Российской Федерации, принимающим (принимавшим) участие в специальной военной операции на территориях Донецкой Народной Республики, Луганской Народной Республики и Украины, сотрудникам уголовно-исполнительной системы Российской Федерации, выполняющим (выполнявшим) возложенные на них задачи на указанных территориях в период проведения специальной военной операции, лицам, направленным (командированным) для выполнения задач на территории Донецкой Народной Республики, Луганской Народной Республики и Украины, а также членам их семей, если они обращаются за оказанием бесплатной юридической помощи по вопросам предоставления мер социальной поддержки в связи со специальной военной операцией на территориях Донецкой Народной Республики, Луганской Народной Республики и Украины</w:t>
            </w:r>
            <w:r>
              <w:rPr>
                <w:rFonts w:ascii="Times New Roman" w:hAnsi="Times New Roman"/>
                <w:sz w:val="28"/>
              </w:rPr>
              <w:t>;</w:t>
            </w:r>
          </w:p>
        </w:tc>
      </w:tr>
      <w:tr>
        <w:tc>
          <w:tcPr>
            <w:tcW w:type="dxa" w:w="1111"/>
          </w:tcPr>
          <w:p w14:paraId="23000000">
            <w:pPr>
              <w:pStyle w:val="Style_2"/>
              <w:numPr>
                <w:ilvl w:val="0"/>
                <w:numId w:val="1"/>
              </w:numPr>
              <w:ind/>
              <w:jc w:val="both"/>
              <w:rPr>
                <w:rFonts w:ascii="Times New Roman" w:hAnsi="Times New Roman"/>
                <w:sz w:val="28"/>
              </w:rPr>
            </w:pPr>
          </w:p>
        </w:tc>
        <w:tc>
          <w:tcPr>
            <w:tcW w:type="dxa" w:w="8211"/>
          </w:tcPr>
          <w:p w14:paraId="24000000">
            <w:pPr>
              <w:ind/>
              <w:jc w:val="both"/>
              <w:rPr>
                <w:rFonts w:ascii="Times New Roman" w:hAnsi="Times New Roman"/>
                <w:sz w:val="28"/>
              </w:rPr>
            </w:pPr>
            <w:r>
              <w:rPr>
                <w:rFonts w:ascii="Times New Roman" w:hAnsi="Times New Roman"/>
                <w:sz w:val="28"/>
              </w:rPr>
              <w:t xml:space="preserve">Размер ежемесячного пособия на ребенка увеличивается на </w:t>
            </w:r>
            <w:r>
              <w:rPr>
                <w:rFonts w:ascii="Times New Roman" w:hAnsi="Times New Roman"/>
                <w:sz w:val="28"/>
              </w:rPr>
              <w:t>пятьдесят процентов  на детей военнослужащих, проходящих службу по призыву</w:t>
            </w:r>
            <w:r>
              <w:rPr>
                <w:rFonts w:ascii="Times New Roman" w:hAnsi="Times New Roman"/>
                <w:sz w:val="28"/>
              </w:rPr>
              <w:t>;</w:t>
            </w:r>
          </w:p>
        </w:tc>
      </w:tr>
      <w:tr>
        <w:tc>
          <w:tcPr>
            <w:tcW w:type="dxa" w:w="1111"/>
          </w:tcPr>
          <w:p w14:paraId="25000000">
            <w:pPr>
              <w:pStyle w:val="Style_2"/>
              <w:numPr>
                <w:ilvl w:val="0"/>
                <w:numId w:val="1"/>
              </w:numPr>
              <w:ind/>
              <w:jc w:val="both"/>
              <w:rPr>
                <w:rFonts w:ascii="Times New Roman" w:hAnsi="Times New Roman"/>
                <w:sz w:val="28"/>
              </w:rPr>
            </w:pPr>
          </w:p>
        </w:tc>
        <w:tc>
          <w:tcPr>
            <w:tcW w:type="dxa" w:w="8211"/>
          </w:tcPr>
          <w:p w14:paraId="26000000">
            <w:pPr>
              <w:ind/>
              <w:jc w:val="both"/>
              <w:rPr>
                <w:rFonts w:ascii="Times New Roman" w:hAnsi="Times New Roman"/>
                <w:sz w:val="28"/>
              </w:rPr>
            </w:pPr>
            <w:r>
              <w:rPr>
                <w:rFonts w:ascii="Times New Roman" w:hAnsi="Times New Roman"/>
                <w:sz w:val="28"/>
              </w:rPr>
              <w:t>Меры социальной поддержки, пенсионерам (55 лет и 60 лет, военный стаж засчитывают)</w:t>
            </w:r>
          </w:p>
          <w:p w14:paraId="27000000">
            <w:pPr>
              <w:ind/>
              <w:jc w:val="both"/>
              <w:rPr>
                <w:rFonts w:ascii="Times New Roman" w:hAnsi="Times New Roman"/>
                <w:sz w:val="28"/>
              </w:rPr>
            </w:pPr>
            <w:r>
              <w:rPr>
                <w:rFonts w:ascii="Times New Roman" w:hAnsi="Times New Roman"/>
                <w:sz w:val="28"/>
              </w:rPr>
              <w:t xml:space="preserve"> в следующих формах:</w:t>
            </w:r>
          </w:p>
          <w:p w14:paraId="28000000">
            <w:pPr>
              <w:ind/>
              <w:jc w:val="both"/>
              <w:rPr>
                <w:rFonts w:ascii="Times New Roman" w:hAnsi="Times New Roman"/>
                <w:sz w:val="28"/>
              </w:rPr>
            </w:pPr>
            <w:r>
              <w:rPr>
                <w:rFonts w:ascii="Times New Roman" w:hAnsi="Times New Roman"/>
                <w:sz w:val="28"/>
              </w:rPr>
              <w:t>1) ежемесячная денежная выплата; 2) ежемесячная денежная компенсация расходов на оплату жилого помещения и (или) коммунальных услуг;3) ежегодная денежная компенсация на приобретение твердого топлива;4) ежегодная денежная компенсация на приобретение сжиженного газа;5) ежемесячная денежная компенсация расходов на оплату жилого помещения, отопления, освещения, обращения с твердыми коммунальными отходами;6) компенсация расходов по оплате проезда (туда и обратно) один раз в год по территории Российской Федерации;</w:t>
            </w:r>
          </w:p>
        </w:tc>
      </w:tr>
      <w:tr>
        <w:tc>
          <w:tcPr>
            <w:tcW w:type="dxa" w:w="1111"/>
          </w:tcPr>
          <w:p w14:paraId="29000000">
            <w:pPr>
              <w:pStyle w:val="Style_2"/>
              <w:numPr>
                <w:ilvl w:val="0"/>
                <w:numId w:val="1"/>
              </w:numPr>
              <w:ind/>
              <w:jc w:val="both"/>
              <w:outlineLvl w:val="0"/>
              <w:rPr>
                <w:rFonts w:ascii="Times New Roman" w:hAnsi="Times New Roman"/>
                <w:sz w:val="28"/>
              </w:rPr>
            </w:pPr>
          </w:p>
        </w:tc>
        <w:tc>
          <w:tcPr>
            <w:tcW w:type="dxa" w:w="8211"/>
          </w:tcPr>
          <w:p w14:paraId="2A000000">
            <w:pPr>
              <w:ind/>
              <w:jc w:val="both"/>
              <w:outlineLvl w:val="0"/>
              <w:rPr>
                <w:rFonts w:ascii="Times New Roman" w:hAnsi="Times New Roman"/>
                <w:sz w:val="28"/>
              </w:rPr>
            </w:pPr>
            <w:r>
              <w:rPr>
                <w:rFonts w:ascii="Times New Roman" w:hAnsi="Times New Roman"/>
                <w:sz w:val="28"/>
              </w:rPr>
              <w:t>М</w:t>
            </w:r>
            <w:r>
              <w:rPr>
                <w:rFonts w:ascii="Times New Roman" w:hAnsi="Times New Roman"/>
                <w:sz w:val="28"/>
              </w:rPr>
              <w:t>еры социальной поддержки по оплате коммунальных услуг в форме ежемесячной денежной компенсации расходов на оплату коммунальных услуг в размере 50 процентов платы за коммунальные услуги (холодное и горячее водоснабжение, водоотведение, электроснабжение, газоснабжение, отопление, обращение с твердыми коммунальными отходами - в пределах нормативов потребления указанных услуг, установленных в соответствии с законодательством Российской Федерации) членам семей, проживающим совместно с</w:t>
            </w:r>
            <w:r>
              <w:rPr>
                <w:rFonts w:ascii="Times New Roman" w:hAnsi="Times New Roman"/>
                <w:sz w:val="28"/>
              </w:rPr>
              <w:t xml:space="preserve"> </w:t>
            </w:r>
            <w:r>
              <w:rPr>
                <w:rFonts w:ascii="Times New Roman" w:hAnsi="Times New Roman"/>
                <w:sz w:val="28"/>
              </w:rPr>
              <w:t>определенными категориями военнослужащих;</w:t>
            </w:r>
          </w:p>
        </w:tc>
      </w:tr>
      <w:tr>
        <w:tc>
          <w:tcPr>
            <w:tcW w:type="dxa" w:w="1111"/>
          </w:tcPr>
          <w:p w14:paraId="2B000000">
            <w:pPr>
              <w:pStyle w:val="Style_2"/>
              <w:numPr>
                <w:ilvl w:val="0"/>
                <w:numId w:val="1"/>
              </w:numPr>
              <w:ind/>
              <w:jc w:val="both"/>
              <w:rPr>
                <w:rFonts w:ascii="Times New Roman" w:hAnsi="Times New Roman"/>
                <w:sz w:val="28"/>
              </w:rPr>
            </w:pPr>
          </w:p>
        </w:tc>
        <w:tc>
          <w:tcPr>
            <w:tcW w:type="dxa" w:w="8211"/>
          </w:tcPr>
          <w:p w14:paraId="2C000000">
            <w:pPr>
              <w:ind/>
              <w:jc w:val="both"/>
              <w:rPr>
                <w:rFonts w:ascii="Times New Roman" w:hAnsi="Times New Roman"/>
                <w:sz w:val="28"/>
              </w:rPr>
            </w:pPr>
            <w:r>
              <w:rPr>
                <w:rFonts w:ascii="Times New Roman" w:hAnsi="Times New Roman"/>
                <w:sz w:val="28"/>
              </w:rPr>
              <w:t>Право на льготное посещение областных организаций культуры имеют военнослужащие, проходящие военную службу по призыву;</w:t>
            </w:r>
          </w:p>
        </w:tc>
      </w:tr>
      <w:tr>
        <w:tc>
          <w:tcPr>
            <w:tcW w:type="dxa" w:w="1111"/>
          </w:tcPr>
          <w:p w14:paraId="2D000000">
            <w:pPr>
              <w:pStyle w:val="Style_2"/>
              <w:numPr>
                <w:ilvl w:val="0"/>
                <w:numId w:val="1"/>
              </w:numPr>
              <w:ind/>
              <w:jc w:val="both"/>
              <w:rPr>
                <w:rFonts w:ascii="Times New Roman" w:hAnsi="Times New Roman"/>
                <w:sz w:val="28"/>
              </w:rPr>
            </w:pPr>
          </w:p>
        </w:tc>
        <w:tc>
          <w:tcPr>
            <w:tcW w:type="dxa" w:w="8211"/>
          </w:tcPr>
          <w:p w14:paraId="2E000000">
            <w:pPr>
              <w:ind/>
              <w:jc w:val="both"/>
              <w:rPr>
                <w:rFonts w:ascii="Times New Roman" w:hAnsi="Times New Roman"/>
                <w:sz w:val="28"/>
              </w:rPr>
            </w:pPr>
            <w:r>
              <w:rPr>
                <w:rFonts w:ascii="Times New Roman" w:hAnsi="Times New Roman"/>
                <w:sz w:val="28"/>
              </w:rPr>
              <w:t>Государственная социальная стипендия назначается студентам, ставшим</w:t>
            </w:r>
            <w:r>
              <w:rPr>
                <w:rFonts w:ascii="Times New Roman" w:hAnsi="Times New Roman"/>
                <w:sz w:val="28"/>
              </w:rPr>
              <w:t>и</w:t>
            </w:r>
            <w:r>
              <w:rPr>
                <w:rFonts w:ascii="Times New Roman" w:hAnsi="Times New Roman"/>
                <w:sz w:val="28"/>
              </w:rPr>
              <w:t xml:space="preserve"> инвалидами в следствие военной травмы;</w:t>
            </w:r>
          </w:p>
        </w:tc>
      </w:tr>
      <w:tr>
        <w:tc>
          <w:tcPr>
            <w:tcW w:type="dxa" w:w="1111"/>
          </w:tcPr>
          <w:p w14:paraId="2F000000">
            <w:pPr>
              <w:pStyle w:val="Style_2"/>
              <w:numPr>
                <w:ilvl w:val="0"/>
                <w:numId w:val="1"/>
              </w:numPr>
              <w:ind/>
              <w:jc w:val="both"/>
              <w:rPr>
                <w:rFonts w:ascii="Times New Roman" w:hAnsi="Times New Roman"/>
                <w:sz w:val="28"/>
              </w:rPr>
            </w:pPr>
          </w:p>
        </w:tc>
        <w:tc>
          <w:tcPr>
            <w:tcW w:type="dxa" w:w="8211"/>
          </w:tcPr>
          <w:p w14:paraId="30000000">
            <w:pPr>
              <w:ind/>
              <w:jc w:val="both"/>
              <w:rPr>
                <w:rFonts w:ascii="Times New Roman" w:hAnsi="Times New Roman"/>
                <w:sz w:val="28"/>
              </w:rPr>
            </w:pPr>
            <w:r>
              <w:rPr>
                <w:rFonts w:ascii="Times New Roman" w:hAnsi="Times New Roman"/>
                <w:sz w:val="28"/>
              </w:rPr>
              <w:t>При определении размера ежемесячной денежной компенсации гражданам, имеющим право на меры социальной поддержки по оплате жилого помещения и коммунальных услуг не учитываются следующие зарегистрированные совместно с ними временно отсутствующие члены семьи</w:t>
            </w:r>
            <w:r>
              <w:rPr>
                <w:rFonts w:ascii="Times New Roman" w:hAnsi="Times New Roman"/>
                <w:sz w:val="28"/>
              </w:rPr>
              <w:t xml:space="preserve"> </w:t>
            </w:r>
            <w:r>
              <w:rPr>
                <w:rFonts w:ascii="Times New Roman" w:hAnsi="Times New Roman"/>
                <w:sz w:val="28"/>
              </w:rPr>
              <w:t>проходящие военную службу по призыву или по контракту, или по мобилизации, или пребывающие в добровольческом формировании, содействующем выполнению задач, возложенных на Вооруженные Силы Российской Федерации;</w:t>
            </w:r>
          </w:p>
        </w:tc>
      </w:tr>
      <w:tr>
        <w:tc>
          <w:tcPr>
            <w:tcW w:type="dxa" w:w="1111"/>
          </w:tcPr>
          <w:p w14:paraId="31000000">
            <w:pPr>
              <w:pStyle w:val="Style_2"/>
              <w:numPr>
                <w:ilvl w:val="0"/>
                <w:numId w:val="1"/>
              </w:numPr>
              <w:ind/>
              <w:jc w:val="both"/>
              <w:rPr>
                <w:rFonts w:ascii="Times New Roman" w:hAnsi="Times New Roman"/>
                <w:sz w:val="28"/>
              </w:rPr>
            </w:pPr>
          </w:p>
        </w:tc>
        <w:tc>
          <w:tcPr>
            <w:tcW w:type="dxa" w:w="8211"/>
          </w:tcPr>
          <w:p w14:paraId="32000000">
            <w:pPr>
              <w:ind/>
              <w:jc w:val="both"/>
              <w:rPr>
                <w:rFonts w:ascii="Times New Roman" w:hAnsi="Times New Roman"/>
                <w:sz w:val="28"/>
              </w:rPr>
            </w:pPr>
            <w:r>
              <w:rPr>
                <w:rFonts w:ascii="Times New Roman" w:hAnsi="Times New Roman"/>
                <w:sz w:val="28"/>
              </w:rPr>
              <w:t>М</w:t>
            </w:r>
            <w:r>
              <w:rPr>
                <w:rFonts w:ascii="Times New Roman" w:hAnsi="Times New Roman"/>
                <w:sz w:val="28"/>
              </w:rPr>
              <w:t>еры социальной поддержки по оплате жилого помещения и коммунальных услуг членам семей, погибших военнослужащих.</w:t>
            </w:r>
          </w:p>
          <w:p w14:paraId="33000000">
            <w:pPr>
              <w:ind/>
              <w:jc w:val="both"/>
              <w:rPr>
                <w:rFonts w:ascii="Times New Roman" w:hAnsi="Times New Roman"/>
                <w:sz w:val="28"/>
              </w:rPr>
            </w:pPr>
            <w:r>
              <w:rPr>
                <w:rFonts w:ascii="Times New Roman" w:hAnsi="Times New Roman"/>
                <w:sz w:val="28"/>
              </w:rPr>
              <w:t xml:space="preserve">При определении размера ежемесячной денежной компенсации гражданам, имеющим право на меры социальной поддержки по </w:t>
            </w:r>
            <w:r>
              <w:rPr>
                <w:rFonts w:ascii="Times New Roman" w:hAnsi="Times New Roman"/>
                <w:sz w:val="28"/>
              </w:rPr>
              <w:t>оплате жилого помещения и коммунальных услуг, не учитываются следующие зарегистрированные совместно с ним временно отсутствующие члены семь</w:t>
            </w:r>
            <w:r>
              <w:rPr>
                <w:rFonts w:ascii="Times New Roman" w:hAnsi="Times New Roman"/>
                <w:sz w:val="28"/>
              </w:rPr>
              <w:t>и</w:t>
            </w:r>
            <w:r>
              <w:rPr>
                <w:rFonts w:ascii="Times New Roman" w:hAnsi="Times New Roman"/>
                <w:sz w:val="28"/>
              </w:rPr>
              <w:t>,</w:t>
            </w:r>
            <w:r>
              <w:rPr>
                <w:rFonts w:ascii="Times New Roman" w:hAnsi="Times New Roman"/>
                <w:sz w:val="28"/>
              </w:rPr>
              <w:t xml:space="preserve"> </w:t>
            </w:r>
            <w:r>
              <w:rPr>
                <w:rFonts w:ascii="Times New Roman" w:hAnsi="Times New Roman"/>
                <w:sz w:val="28"/>
              </w:rPr>
              <w:t>проходящие военную службу по призыву или по контракту, или по мобилизации, или пребывающие в добровольческом формировании, содействующем выполнению задач, возложенных на Вооруженные Силы Российской Федерации;</w:t>
            </w:r>
          </w:p>
        </w:tc>
      </w:tr>
      <w:tr>
        <w:tc>
          <w:tcPr>
            <w:tcW w:type="dxa" w:w="1111"/>
          </w:tcPr>
          <w:p w14:paraId="34000000">
            <w:pPr>
              <w:pStyle w:val="Style_2"/>
              <w:numPr>
                <w:ilvl w:val="0"/>
                <w:numId w:val="1"/>
              </w:numPr>
              <w:ind/>
              <w:jc w:val="both"/>
              <w:rPr>
                <w:rFonts w:ascii="Times New Roman" w:hAnsi="Times New Roman"/>
                <w:sz w:val="28"/>
              </w:rPr>
            </w:pPr>
          </w:p>
        </w:tc>
        <w:tc>
          <w:tcPr>
            <w:tcW w:type="dxa" w:w="8211"/>
          </w:tcPr>
          <w:p w14:paraId="35000000">
            <w:pPr>
              <w:ind/>
              <w:jc w:val="both"/>
              <w:rPr>
                <w:rFonts w:ascii="Times New Roman" w:hAnsi="Times New Roman"/>
                <w:sz w:val="28"/>
              </w:rPr>
            </w:pPr>
            <w:r>
              <w:rPr>
                <w:rFonts w:ascii="Times New Roman" w:hAnsi="Times New Roman"/>
                <w:sz w:val="28"/>
              </w:rPr>
              <w:t>Внеочередное оказание медицинской помощи военнослужащим;</w:t>
            </w:r>
          </w:p>
        </w:tc>
      </w:tr>
      <w:tr>
        <w:tc>
          <w:tcPr>
            <w:tcW w:type="dxa" w:w="1111"/>
          </w:tcPr>
          <w:p w14:paraId="36000000">
            <w:pPr>
              <w:pStyle w:val="Style_2"/>
              <w:numPr>
                <w:ilvl w:val="0"/>
                <w:numId w:val="1"/>
              </w:numPr>
              <w:ind/>
              <w:jc w:val="both"/>
              <w:rPr>
                <w:rFonts w:ascii="Times New Roman" w:hAnsi="Times New Roman"/>
                <w:sz w:val="28"/>
              </w:rPr>
            </w:pPr>
          </w:p>
        </w:tc>
        <w:tc>
          <w:tcPr>
            <w:tcW w:type="dxa" w:w="8211"/>
          </w:tcPr>
          <w:p w14:paraId="37000000">
            <w:pPr>
              <w:ind/>
              <w:jc w:val="both"/>
              <w:rPr>
                <w:rFonts w:ascii="Times New Roman" w:hAnsi="Times New Roman"/>
                <w:sz w:val="28"/>
              </w:rPr>
            </w:pPr>
            <w:r>
              <w:rPr>
                <w:rFonts w:ascii="Times New Roman" w:hAnsi="Times New Roman"/>
                <w:sz w:val="28"/>
              </w:rPr>
              <w:t>При предоставлении ежемесячных денежных выплат студентам, заключившим договоры о целевом обучении с организацией, занимающейся сельскохозяйственным производством, студенты освобождаются от возврата в областной бюджет ежемесячных денежных выплат в связи с расторжением трудового договора по своей инициативе  в связи с переводом супруга (супруги), или иной документ, подтверждающий факт перевода супруга (супруги), проходящего (проходящей) военную службу по контракту,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к новому месту службы, находящемуся за пределами муниципального района или муниципального округа, в котором проживает и работает гражданин</w:t>
            </w:r>
            <w:r>
              <w:rPr>
                <w:rFonts w:ascii="Times New Roman" w:hAnsi="Times New Roman"/>
                <w:sz w:val="28"/>
              </w:rPr>
              <w:t>;</w:t>
            </w:r>
          </w:p>
        </w:tc>
      </w:tr>
      <w:tr>
        <w:tc>
          <w:tcPr>
            <w:tcW w:type="dxa" w:w="1111"/>
          </w:tcPr>
          <w:p w14:paraId="38000000">
            <w:pPr>
              <w:pStyle w:val="Style_2"/>
              <w:numPr>
                <w:ilvl w:val="0"/>
                <w:numId w:val="1"/>
              </w:numPr>
              <w:ind/>
              <w:jc w:val="both"/>
              <w:rPr>
                <w:rFonts w:ascii="Times New Roman" w:hAnsi="Times New Roman"/>
                <w:sz w:val="28"/>
              </w:rPr>
            </w:pPr>
          </w:p>
        </w:tc>
        <w:tc>
          <w:tcPr>
            <w:tcW w:type="dxa" w:w="8211"/>
          </w:tcPr>
          <w:p w14:paraId="39000000">
            <w:pPr>
              <w:ind/>
              <w:jc w:val="both"/>
              <w:rPr>
                <w:rFonts w:ascii="Times New Roman" w:hAnsi="Times New Roman"/>
                <w:sz w:val="28"/>
              </w:rPr>
            </w:pPr>
            <w:r>
              <w:rPr>
                <w:rFonts w:ascii="Times New Roman" w:hAnsi="Times New Roman"/>
                <w:sz w:val="28"/>
              </w:rPr>
              <w:t>П</w:t>
            </w:r>
            <w:r>
              <w:rPr>
                <w:rFonts w:ascii="Times New Roman" w:hAnsi="Times New Roman"/>
                <w:sz w:val="28"/>
              </w:rPr>
              <w:t>ри наличии оснований для освобождения получателя от ответственности за неисполнение обязательств по договору о целевом обучении, при условии их возникновения не ранее даты заключения договора о целевом обучении, если получатель является супругом (супругой) военнослужащего, за исключением лиц, проходящих военную службу по призыву, если при этом получатель обучался не по месту военной службы супруга (супруги) и отчислен по инициативе получателя в связи с указанным основанием из образовательной организации, в которой он обучался в соответствии с договором о целевом обучении;</w:t>
            </w:r>
          </w:p>
        </w:tc>
      </w:tr>
      <w:tr>
        <w:tc>
          <w:tcPr>
            <w:tcW w:type="dxa" w:w="1111"/>
          </w:tcPr>
          <w:p w14:paraId="3A000000">
            <w:pPr>
              <w:pStyle w:val="Style_2"/>
              <w:numPr>
                <w:ilvl w:val="0"/>
                <w:numId w:val="1"/>
              </w:numPr>
              <w:ind/>
              <w:jc w:val="both"/>
              <w:rPr>
                <w:rFonts w:ascii="Times New Roman" w:hAnsi="Times New Roman"/>
                <w:sz w:val="28"/>
              </w:rPr>
            </w:pPr>
          </w:p>
        </w:tc>
        <w:tc>
          <w:tcPr>
            <w:tcW w:type="dxa" w:w="8211"/>
          </w:tcPr>
          <w:p w14:paraId="3B000000">
            <w:pPr>
              <w:ind/>
              <w:jc w:val="both"/>
              <w:rPr>
                <w:rFonts w:ascii="Times New Roman" w:hAnsi="Times New Roman"/>
                <w:sz w:val="28"/>
              </w:rPr>
            </w:pPr>
            <w:r>
              <w:rPr>
                <w:rFonts w:ascii="Times New Roman" w:hAnsi="Times New Roman"/>
                <w:sz w:val="28"/>
              </w:rPr>
              <w:t>П</w:t>
            </w:r>
            <w:r>
              <w:rPr>
                <w:rFonts w:ascii="Times New Roman" w:hAnsi="Times New Roman"/>
                <w:sz w:val="28"/>
              </w:rPr>
              <w:t>ри заключении договора о целевом обучении между государственным органом области и гражданином Российской Федерации с обязательством последующего прохождения государственной гражданской службы области после окончания обучения в течение определенного срока</w:t>
            </w:r>
            <w:r>
              <w:rPr>
                <w:rFonts w:ascii="Times New Roman" w:hAnsi="Times New Roman"/>
                <w:sz w:val="28"/>
              </w:rPr>
              <w:t xml:space="preserve"> г</w:t>
            </w:r>
            <w:r>
              <w:rPr>
                <w:rFonts w:ascii="Times New Roman" w:hAnsi="Times New Roman"/>
                <w:sz w:val="28"/>
              </w:rPr>
              <w:t>ражданин освобождается от возмещения в полном объеме расходов, связанных с предоставлением мер социальной поддержки, и от возврата ежемесячных денежных выплат в областной бюджет</w:t>
            </w:r>
            <w:r>
              <w:rPr>
                <w:rFonts w:ascii="Times New Roman" w:hAnsi="Times New Roman"/>
                <w:sz w:val="28"/>
              </w:rPr>
              <w:t xml:space="preserve">,  </w:t>
            </w:r>
            <w:r>
              <w:rPr>
                <w:rFonts w:ascii="Times New Roman" w:hAnsi="Times New Roman"/>
                <w:sz w:val="28"/>
              </w:rPr>
              <w:t xml:space="preserve">в связи с наступлением обстоятельств, возникших после </w:t>
            </w:r>
            <w:r>
              <w:rPr>
                <w:rFonts w:ascii="Times New Roman" w:hAnsi="Times New Roman"/>
                <w:sz w:val="28"/>
              </w:rPr>
              <w:t xml:space="preserve">заключения договора о целевом обучении: </w:t>
            </w:r>
            <w:r>
              <w:rPr>
                <w:rFonts w:ascii="Times New Roman" w:hAnsi="Times New Roman"/>
                <w:sz w:val="28"/>
              </w:rPr>
              <w:t xml:space="preserve">если </w:t>
            </w:r>
            <w:r>
              <w:rPr>
                <w:rFonts w:ascii="Times New Roman" w:hAnsi="Times New Roman"/>
                <w:sz w:val="28"/>
              </w:rPr>
              <w:t xml:space="preserve">его супруг (супруга), проходящий (проходящая) военную службу по контракту,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переводится к новому месту службы, находящемуся за пределами городского округа, муниципального округа или муниципального района области, в котором проживает и работает гражданин, за исключением перевода супруга (супруги) гражданина в муниципальный округ или муниципальный район, административный центр которого удален от места прохождения гражданином государственной гражданской службы области менее чем на 40 километров; </w:t>
            </w:r>
          </w:p>
        </w:tc>
      </w:tr>
      <w:tr>
        <w:tc>
          <w:tcPr>
            <w:tcW w:type="dxa" w:w="1111"/>
          </w:tcPr>
          <w:p w14:paraId="3C000000">
            <w:pPr>
              <w:pStyle w:val="Style_2"/>
              <w:numPr>
                <w:ilvl w:val="0"/>
                <w:numId w:val="1"/>
              </w:numPr>
              <w:ind/>
              <w:jc w:val="both"/>
              <w:rPr>
                <w:rFonts w:ascii="Times New Roman" w:hAnsi="Times New Roman"/>
                <w:sz w:val="28"/>
              </w:rPr>
            </w:pPr>
          </w:p>
        </w:tc>
        <w:tc>
          <w:tcPr>
            <w:tcW w:type="dxa" w:w="8211"/>
          </w:tcPr>
          <w:p w14:paraId="3D000000">
            <w:pPr>
              <w:ind/>
              <w:jc w:val="both"/>
              <w:rPr>
                <w:rFonts w:ascii="Times New Roman" w:hAnsi="Times New Roman"/>
                <w:sz w:val="28"/>
              </w:rPr>
            </w:pPr>
            <w:r>
              <w:rPr>
                <w:rFonts w:ascii="Times New Roman" w:hAnsi="Times New Roman"/>
                <w:sz w:val="28"/>
              </w:rPr>
              <w:t>Ежемесячное пособие на ребенка в повышенном размере на детей военнослужащих;</w:t>
            </w:r>
          </w:p>
        </w:tc>
      </w:tr>
      <w:tr>
        <w:tc>
          <w:tcPr>
            <w:tcW w:type="dxa" w:w="1111"/>
          </w:tcPr>
          <w:p w14:paraId="3E000000">
            <w:pPr>
              <w:pStyle w:val="Style_2"/>
              <w:numPr>
                <w:ilvl w:val="0"/>
                <w:numId w:val="1"/>
              </w:numPr>
              <w:ind/>
              <w:jc w:val="both"/>
              <w:rPr>
                <w:rFonts w:ascii="Times New Roman" w:hAnsi="Times New Roman"/>
                <w:sz w:val="28"/>
              </w:rPr>
            </w:pPr>
          </w:p>
        </w:tc>
        <w:tc>
          <w:tcPr>
            <w:tcW w:type="dxa" w:w="8211"/>
          </w:tcPr>
          <w:p w14:paraId="3F000000">
            <w:pPr>
              <w:ind/>
              <w:jc w:val="both"/>
              <w:rPr>
                <w:rFonts w:ascii="Times New Roman" w:hAnsi="Times New Roman"/>
                <w:sz w:val="28"/>
              </w:rPr>
            </w:pPr>
            <w:r>
              <w:rPr>
                <w:rFonts w:ascii="Times New Roman" w:hAnsi="Times New Roman"/>
                <w:sz w:val="28"/>
              </w:rPr>
              <w:t>Оплата стоимости путевок для детей в размере 100% фактической стоимости путевки в организации отдыха детей и их оздоровления с круглосуточным пребыванием детей (в том числе лагеря, организованные образовательными организациями, осуществляющими организацию отдыха и оздоровления обучающихся в каникулярное время, детские лагеря палаточного типа, детские специализированные (профильные) лагеря, детские лагеря различной тематической направленности); с дневным пребыванием детей (в том числе лагеря, организованные образовательными организациями, осуществляющими организацию отдыха и оздоровления обучающихся в каникулярное время, детские лагеря палаточного типа, для детей в возрасте от 14 до 18 лет - детские лагеря труда и отдыха) (далее - организации отдыха детей и их оздоровления). Оплата стоимости путевок в организации отдыха детей и их оздоровления осуществляется не более 1 раза в период каждых школьных каникул (зимних, весенних, летних, осенних)</w:t>
            </w:r>
            <w:r>
              <w:rPr>
                <w:rFonts w:ascii="Times New Roman" w:hAnsi="Times New Roman"/>
                <w:sz w:val="28"/>
              </w:rPr>
              <w:t>.</w:t>
            </w:r>
          </w:p>
        </w:tc>
      </w:tr>
    </w:tbl>
    <w:p w14:paraId="40000000">
      <w:pPr>
        <w:spacing w:line="240" w:lineRule="auto"/>
        <w:ind/>
      </w:pPr>
    </w:p>
    <w:sectPr>
      <w:pgSz w:h="16838" w:orient="portrait" w:w="11906"/>
      <w:pgMar w:bottom="1701" w:footer="709" w:gutter="0" w:header="709" w:left="1418" w:right="1418" w:top="141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8"/>
      </w:rPr>
    </w:rPrDefault>
    <w:pPrDefault>
      <w:pPr>
        <w:spacing w:after="0" w:before="0" w:line="360" w:lineRule="exact"/>
        <w:ind w:firstLine="709" w:left="0" w:right="0"/>
        <w:jc w:val="both"/>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2" w:type="paragraph">
    <w:name w:val="List Paragraph"/>
    <w:basedOn w:val="Style_3"/>
    <w:link w:val="Style_2_ch"/>
    <w:pPr>
      <w:ind w:firstLine="0" w:left="720"/>
      <w:contextualSpacing w:val="1"/>
    </w:pPr>
  </w:style>
  <w:style w:styleId="Style_2_ch" w:type="character">
    <w:name w:val="List Paragraph"/>
    <w:basedOn w:val="Style_3_ch"/>
    <w:link w:val="Style_2"/>
  </w:style>
  <w:style w:styleId="Style_9" w:type="paragraph">
    <w:name w:val="toc 3"/>
    <w:next w:val="Style_3"/>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3"/>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next w:val="Style_3"/>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3"/>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3"/>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3"/>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toc 5"/>
    <w:next w:val="Style_3"/>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Default Paragraph Font"/>
    <w:link w:val="Style_19_ch"/>
  </w:style>
  <w:style w:styleId="Style_19_ch" w:type="character">
    <w:name w:val="Default Paragraph Font"/>
    <w:link w:val="Style_19"/>
  </w:style>
  <w:style w:styleId="Style_20" w:type="paragraph">
    <w:name w:val="Balloon Text"/>
    <w:basedOn w:val="Style_3"/>
    <w:link w:val="Style_20_ch"/>
    <w:pPr>
      <w:spacing w:line="240" w:lineRule="auto"/>
      <w:ind/>
    </w:pPr>
    <w:rPr>
      <w:rFonts w:ascii="Tahoma" w:hAnsi="Tahoma"/>
      <w:sz w:val="16"/>
    </w:rPr>
  </w:style>
  <w:style w:styleId="Style_20_ch" w:type="character">
    <w:name w:val="Balloon Text"/>
    <w:basedOn w:val="Style_3_ch"/>
    <w:link w:val="Style_20"/>
    <w:rPr>
      <w:rFonts w:ascii="Tahoma" w:hAnsi="Tahoma"/>
      <w:sz w:val="16"/>
    </w:rPr>
  </w:style>
  <w:style w:styleId="Style_21" w:type="paragraph">
    <w:name w:val="Subtitle"/>
    <w:next w:val="Style_3"/>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Title"/>
    <w:next w:val="Style_3"/>
    <w:link w:val="Style_22_ch"/>
    <w:uiPriority w:val="10"/>
    <w:qFormat/>
    <w:pPr>
      <w:spacing w:after="567" w:before="567"/>
      <w:ind/>
      <w:jc w:val="center"/>
    </w:pPr>
    <w:rPr>
      <w:rFonts w:ascii="XO Thames" w:hAnsi="XO Thames"/>
      <w:b w:val="1"/>
      <w:caps w:val="1"/>
      <w:sz w:val="40"/>
    </w:rPr>
  </w:style>
  <w:style w:styleId="Style_22_ch" w:type="character">
    <w:name w:val="Title"/>
    <w:link w:val="Style_22"/>
    <w:rPr>
      <w:rFonts w:ascii="XO Thames" w:hAnsi="XO Thames"/>
      <w:b w:val="1"/>
      <w:caps w:val="1"/>
      <w:sz w:val="40"/>
    </w:rPr>
  </w:style>
  <w:style w:styleId="Style_23" w:type="paragraph">
    <w:name w:val="heading 4"/>
    <w:next w:val="Style_3"/>
    <w:link w:val="Style_23_ch"/>
    <w:uiPriority w:val="9"/>
    <w:qFormat/>
    <w:pPr>
      <w:spacing w:after="120" w:before="120"/>
      <w:ind/>
      <w:jc w:val="both"/>
      <w:outlineLvl w:val="3"/>
    </w:pPr>
    <w:rPr>
      <w:rFonts w:ascii="XO Thames" w:hAnsi="XO Thames"/>
      <w:b w:val="1"/>
      <w:sz w:val="24"/>
    </w:rPr>
  </w:style>
  <w:style w:styleId="Style_23_ch" w:type="character">
    <w:name w:val="heading 4"/>
    <w:link w:val="Style_23"/>
    <w:rPr>
      <w:rFonts w:ascii="XO Thames" w:hAnsi="XO Thames"/>
      <w:b w:val="1"/>
      <w:sz w:val="24"/>
    </w:rPr>
  </w:style>
  <w:style w:styleId="Style_24" w:type="paragraph">
    <w:name w:val="heading 2"/>
    <w:next w:val="Style_3"/>
    <w:link w:val="Style_24_ch"/>
    <w:uiPriority w:val="9"/>
    <w:qFormat/>
    <w:pPr>
      <w:spacing w:after="120" w:before="120"/>
      <w:ind/>
      <w:jc w:val="both"/>
      <w:outlineLvl w:val="1"/>
    </w:pPr>
    <w:rPr>
      <w:rFonts w:ascii="XO Thames" w:hAnsi="XO Thames"/>
      <w:b w:val="1"/>
      <w:sz w:val="28"/>
    </w:rPr>
  </w:style>
  <w:style w:styleId="Style_24_ch" w:type="character">
    <w:name w:val="heading 2"/>
    <w:link w:val="Style_24"/>
    <w:rPr>
      <w:rFonts w:ascii="XO Thames" w:hAnsi="XO Thames"/>
      <w:b w:val="1"/>
      <w:sz w:val="28"/>
    </w:rPr>
  </w:style>
  <w:style w:default="1" w:styleId="Style_25" w:type="table">
    <w:name w:val="Normal Table"/>
    <w:tblPr>
      <w:tblInd w:type="dxa" w:w="0"/>
      <w:tblCellMar>
        <w:top w:type="dxa" w:w="0"/>
        <w:left w:type="dxa" w:w="108"/>
        <w:bottom w:type="dxa" w:w="0"/>
        <w:right w:type="dxa" w:w="108"/>
      </w:tblCellMar>
    </w:tblPr>
  </w:style>
  <w:style w:styleId="Style_1" w:type="table">
    <w:name w:val="Table Grid"/>
    <w:basedOn w:val="Style_25"/>
    <w:pPr>
      <w:spacing w:line="240" w:lineRule="auto"/>
      <w:ind w:firstLine="0" w:left="0"/>
      <w:jc w:val="left"/>
    </w:pPr>
    <w:rPr>
      <w:rFonts w:asciiTheme="minorAscii" w:hAnsiTheme="minorHAnsi"/>
      <w:sz w:val="22"/>
    </w:r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2022-12-22T05:22:49Z</dcterms:modified>
</cp:coreProperties>
</file>